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2023 m. kovo 31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2023-04-14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2023-03-31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206365,20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2986,85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87,00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977,30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1586,07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449,46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212451,88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212451,88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1947,22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1947,22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1947,22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33988,01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339,31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425,54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613,07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14792,39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60,11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178,82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50397,25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50397,25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264796,35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176552,81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2436,25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279,50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3105,15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2340,85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53,62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3.1.1.3.1.04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1012,99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3.1.1.5.1.01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5292,99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191074,16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191074,16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2880,78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2880,78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2880,78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42442,83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591,89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547,86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802,15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29626,33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1262,39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54,41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75327,86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75327,86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5SBL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5SBL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280282,80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